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12.07.2021 N 607</w:t>
              <w:br/>
              <w:t xml:space="preserve">(ред. от 07.03.2023)</w:t>
              <w:br/>
              <w:t xml:space="preserve">"Об утверждении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w:t>
              <w:br/>
              <w:t xml:space="preserve">(Зарегистрировано в Минюсте России 03.09.2021 N 64876)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сентября 2021 г. N 64876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июля 2021 г. N 607</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ПЕРЕВОДА ОБУЧАЮЩЕГОСЯ В ДРУГУЮ ОБРАЗОВАТЕЛЬНУЮ ОРГАНИЗАЦИЮ,</w:t>
      </w:r>
    </w:p>
    <w:p>
      <w:pPr>
        <w:pStyle w:val="2"/>
        <w:jc w:val="center"/>
      </w:pPr>
      <w:r>
        <w:rPr>
          <w:sz w:val="20"/>
        </w:rPr>
        <w:t xml:space="preserve">РЕАЛИЗУЮЩУЮ ОБРАЗОВАТЕЛЬНУЮ ПРОГРАММУ ВЫСШЕГО ОБРАЗОВАНИЯ</w:t>
      </w:r>
    </w:p>
    <w:p>
      <w:pPr>
        <w:pStyle w:val="2"/>
        <w:jc w:val="center"/>
      </w:pPr>
      <w:r>
        <w:rPr>
          <w:sz w:val="20"/>
        </w:rPr>
        <w:t xml:space="preserve">СООТВЕТСТВУЮЩЕГО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05.10.2022 </w:t>
            </w:r>
            <w:hyperlink w:history="0" r:id="rId7"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N 956</w:t>
              </w:r>
            </w:hyperlink>
            <w:r>
              <w:rPr>
                <w:sz w:val="20"/>
                <w:color w:val="392c69"/>
              </w:rPr>
              <w:t xml:space="preserve">,</w:t>
            </w:r>
          </w:p>
          <w:p>
            <w:pPr>
              <w:pStyle w:val="0"/>
              <w:jc w:val="center"/>
            </w:pPr>
            <w:r>
              <w:rPr>
                <w:sz w:val="20"/>
                <w:color w:val="392c69"/>
              </w:rPr>
              <w:t xml:space="preserve">от 07.03.2023 </w:t>
            </w:r>
            <w:hyperlink w:history="0" r:id="rId8" w:tooltip="Приказ Минобрнауки России от 07.03.2023 N 259 &quot;О внесении изменения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14.04.2023 N 73035) {КонсультантПлюс}">
              <w:r>
                <w:rPr>
                  <w:sz w:val="20"/>
                  <w:color w:val="0000ff"/>
                </w:rPr>
                <w:t xml:space="preserve">N 259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пунктом 15 части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w:history="0" r:id="rId10"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4.2.20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перевода обучающегося в другую образовательную организацию, реализующую образовательную программу высшего образования соответствующего уровня.</w:t>
      </w:r>
    </w:p>
    <w:p>
      <w:pPr>
        <w:pStyle w:val="0"/>
        <w:spacing w:before="200" w:line-rule="auto"/>
        <w:ind w:firstLine="540"/>
        <w:jc w:val="both"/>
      </w:pPr>
      <w:r>
        <w:rPr>
          <w:sz w:val="20"/>
        </w:rPr>
        <w:t xml:space="preserve">2. Настоящий приказ вступает в силу с 1 марта 2022 года и действует до 1 марта 2028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12 июля 2021 г. N 607</w:t>
      </w:r>
    </w:p>
    <w:p>
      <w:pPr>
        <w:pStyle w:val="0"/>
        <w:jc w:val="center"/>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ПЕРЕВОДА ОБУЧАЮЩЕГОСЯ В ДРУГУЮ ОБРАЗОВАТЕЛЬНУЮ ОРГАНИЗАЦИЮ,</w:t>
      </w:r>
    </w:p>
    <w:p>
      <w:pPr>
        <w:pStyle w:val="2"/>
        <w:jc w:val="center"/>
      </w:pPr>
      <w:r>
        <w:rPr>
          <w:sz w:val="20"/>
        </w:rPr>
        <w:t xml:space="preserve">РЕАЛИЗУЮЩУЮ ОБРАЗОВАТЕЛЬНУЮ ПРОГРАММУ ВЫСШЕГО ОБРАЗОВАНИЯ</w:t>
      </w:r>
    </w:p>
    <w:p>
      <w:pPr>
        <w:pStyle w:val="2"/>
        <w:jc w:val="center"/>
      </w:pPr>
      <w:r>
        <w:rPr>
          <w:sz w:val="20"/>
        </w:rPr>
        <w:t xml:space="preserve">СООТВЕТСТВУЮЩЕГО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05.10.2022 </w:t>
            </w:r>
            <w:hyperlink w:history="0" r:id="rId11"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N 956</w:t>
              </w:r>
            </w:hyperlink>
            <w:r>
              <w:rPr>
                <w:sz w:val="20"/>
                <w:color w:val="392c69"/>
              </w:rPr>
              <w:t xml:space="preserve">,</w:t>
            </w:r>
          </w:p>
          <w:p>
            <w:pPr>
              <w:pStyle w:val="0"/>
              <w:jc w:val="center"/>
            </w:pPr>
            <w:r>
              <w:rPr>
                <w:sz w:val="20"/>
                <w:color w:val="392c69"/>
              </w:rPr>
              <w:t xml:space="preserve">от 07.03.2023 </w:t>
            </w:r>
            <w:hyperlink w:history="0" r:id="rId12" w:tooltip="Приказ Минобрнауки России от 07.03.2023 N 259 &quot;О внесении изменения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14.04.2023 N 73035) {КонсультантПлюс}">
              <w:r>
                <w:rPr>
                  <w:sz w:val="20"/>
                  <w:color w:val="0000ff"/>
                </w:rPr>
                <w:t xml:space="preserve">N 259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устанавливает правила перевода лиц, обучающихся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программам ассистентуры-стажировки, а также программам подготовки научно-педагогических кадров в аспирантуре (адъюнктуре), до истечения нормативных сроков их освоения &lt;1&gt; (далее соответственно - Порядок, перевод, обучающиеся, образовательные программы) из одной организации, осуществляющей образовательную деятельность, в другую образовательную организацию (далее соответственно - исходная организация, принимающая организация).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Часть 5 статьи 14</w:t>
        </w:r>
      </w:hyperlink>
      <w:r>
        <w:rPr>
          <w:sz w:val="20"/>
        </w:rPr>
        <w:t xml:space="preserve"> Федерального закона от 30 декабря 2020 г.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(далее - Федеральный закон N 517-ФЗ).</w:t>
      </w:r>
    </w:p>
    <w:p>
      <w:pPr>
        <w:pStyle w:val="0"/>
        <w:ind w:firstLine="540"/>
        <w:jc w:val="both"/>
      </w:pPr>
      <w:r>
        <w:rPr>
          <w:sz w:val="20"/>
        </w:rPr>
      </w:r>
    </w:p>
    <w:p>
      <w:pPr>
        <w:pStyle w:val="0"/>
        <w:ind w:firstLine="540"/>
        <w:jc w:val="both"/>
      </w:pPr>
      <w:r>
        <w:rPr>
          <w:sz w:val="20"/>
        </w:rPr>
        <w:t xml:space="preserve">2. Порядок не распространяется на:</w:t>
      </w:r>
    </w:p>
    <w:p>
      <w:pPr>
        <w:pStyle w:val="0"/>
        <w:spacing w:before="200" w:line-rule="auto"/>
        <w:ind w:firstLine="540"/>
        <w:jc w:val="both"/>
      </w:pPr>
      <w:r>
        <w:rPr>
          <w:sz w:val="20"/>
        </w:rPr>
        <w:t xml:space="preserve">перевод лиц, обучающихся по образовательным программам,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прекращения действия государственной аккредитации;</w:t>
      </w:r>
    </w:p>
    <w:p>
      <w:pPr>
        <w:pStyle w:val="0"/>
        <w:jc w:val="both"/>
      </w:pPr>
      <w:r>
        <w:rPr>
          <w:sz w:val="20"/>
        </w:rPr>
        <w:t xml:space="preserve">(в ред. </w:t>
      </w:r>
      <w:hyperlink w:history="0" r:id="rId14" w:tooltip="Приказ Минобрнауки России от 07.03.2023 N 259 &quot;О внесении изменения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14.04.2023 N 73035) {КонсультантПлюс}">
        <w:r>
          <w:rPr>
            <w:sz w:val="20"/>
            <w:color w:val="0000ff"/>
          </w:rPr>
          <w:t xml:space="preserve">Приказа</w:t>
        </w:r>
      </w:hyperlink>
      <w:r>
        <w:rPr>
          <w:sz w:val="20"/>
        </w:rPr>
        <w:t xml:space="preserve"> Минобрнауки России от 07.03.2023 N 259)</w:t>
      </w:r>
    </w:p>
    <w:p>
      <w:pPr>
        <w:pStyle w:val="0"/>
        <w:spacing w:before="200" w:line-rule="auto"/>
        <w:ind w:firstLine="540"/>
        <w:jc w:val="both"/>
      </w:pPr>
      <w:r>
        <w:rPr>
          <w:sz w:val="20"/>
        </w:rPr>
        <w:t xml:space="preserve">перевод обучающихся из одной федеральной государственной организации, осуществляющей образовательную деятельность и находящейся в ведении органов, указанных в </w:t>
      </w:r>
      <w:hyperlink w:history="0" r:id="rId15"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части 1 статьи 81</w:t>
        </w:r>
      </w:hyperlink>
      <w:r>
        <w:rPr>
          <w:sz w:val="20"/>
        </w:rPr>
        <w:t xml:space="preserve"> Федерального закона от 29 декабря 2012 г. N 273-ФЗ "Об образовании в Российской Федерации", в другую такую организацию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2 части 10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w:t>
      </w:r>
    </w:p>
    <w:p>
      <w:pPr>
        <w:pStyle w:val="0"/>
        <w:ind w:firstLine="540"/>
        <w:jc w:val="both"/>
      </w:pPr>
      <w:r>
        <w:rPr>
          <w:sz w:val="20"/>
        </w:rPr>
      </w:r>
    </w:p>
    <w:p>
      <w:pPr>
        <w:pStyle w:val="0"/>
        <w:ind w:firstLine="540"/>
        <w:jc w:val="both"/>
      </w:pPr>
      <w:r>
        <w:rPr>
          <w:sz w:val="20"/>
        </w:rPr>
        <w:t xml:space="preserve">перевод обучающихся при сетевой форме реализации образовательных программ.</w:t>
      </w:r>
    </w:p>
    <w:p>
      <w:pPr>
        <w:pStyle w:val="0"/>
        <w:spacing w:before="200" w:line-rule="auto"/>
        <w:ind w:firstLine="540"/>
        <w:jc w:val="both"/>
      </w:pPr>
      <w:r>
        <w:rPr>
          <w:sz w:val="20"/>
        </w:rPr>
        <w:t xml:space="preserve">3. Сроки осуществления перевода, в том числе сроки приема документов, которые необходимо представить для перевода, определяются принимающей организацией с учетом требований Порядка.</w:t>
      </w:r>
    </w:p>
    <w:p>
      <w:pPr>
        <w:pStyle w:val="0"/>
        <w:spacing w:before="200" w:line-rule="auto"/>
        <w:ind w:firstLine="540"/>
        <w:jc w:val="both"/>
      </w:pPr>
      <w:r>
        <w:rPr>
          <w:sz w:val="20"/>
        </w:rPr>
        <w:t xml:space="preserve">4. Перевод осуществляется при наличии в принимающей организации вакантных мест (далее - вакантные места для перевода).</w:t>
      </w:r>
    </w:p>
    <w:p>
      <w:pPr>
        <w:pStyle w:val="0"/>
        <w:spacing w:before="200" w:line-rule="auto"/>
        <w:ind w:firstLine="540"/>
        <w:jc w:val="both"/>
      </w:pPr>
      <w:r>
        <w:rPr>
          <w:sz w:val="20"/>
        </w:rPr>
        <w:t xml:space="preserve">5. Количество вакантных мест для перевода определяется принимающей организацией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 бюджетные ассигнования),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6. Перевод обучающихся осуществляется с:</w:t>
      </w:r>
    </w:p>
    <w:p>
      <w:pPr>
        <w:pStyle w:val="0"/>
        <w:spacing w:before="200" w:line-rule="auto"/>
        <w:ind w:firstLine="540"/>
        <w:jc w:val="both"/>
      </w:pPr>
      <w:r>
        <w:rPr>
          <w:sz w:val="20"/>
        </w:rPr>
        <w:t xml:space="preserve">программы бакалавриата на программу бакалавриата;</w:t>
      </w:r>
    </w:p>
    <w:p>
      <w:pPr>
        <w:pStyle w:val="0"/>
        <w:spacing w:before="200" w:line-rule="auto"/>
        <w:ind w:firstLine="540"/>
        <w:jc w:val="both"/>
      </w:pPr>
      <w:r>
        <w:rPr>
          <w:sz w:val="20"/>
        </w:rPr>
        <w:t xml:space="preserve">программы специалитета на программу специалитета;</w:t>
      </w:r>
    </w:p>
    <w:p>
      <w:pPr>
        <w:pStyle w:val="0"/>
        <w:spacing w:before="200" w:line-rule="auto"/>
        <w:ind w:firstLine="540"/>
        <w:jc w:val="both"/>
      </w:pPr>
      <w:r>
        <w:rPr>
          <w:sz w:val="20"/>
        </w:rPr>
        <w:t xml:space="preserve">программы магистратуры на программу магистратуры;</w:t>
      </w:r>
    </w:p>
    <w:p>
      <w:pPr>
        <w:pStyle w:val="0"/>
        <w:spacing w:before="200" w:line-rule="auto"/>
        <w:ind w:firstLine="540"/>
        <w:jc w:val="both"/>
      </w:pPr>
      <w:r>
        <w:rPr>
          <w:sz w:val="20"/>
        </w:rPr>
        <w:t xml:space="preserve">программы специалитета на программу бакалавриата;</w:t>
      </w:r>
    </w:p>
    <w:p>
      <w:pPr>
        <w:pStyle w:val="0"/>
        <w:spacing w:before="200" w:line-rule="auto"/>
        <w:ind w:firstLine="540"/>
        <w:jc w:val="both"/>
      </w:pPr>
      <w:r>
        <w:rPr>
          <w:sz w:val="20"/>
        </w:rPr>
        <w:t xml:space="preserve">программы бакалавриата на программу специалитета;</w:t>
      </w:r>
    </w:p>
    <w:p>
      <w:pPr>
        <w:pStyle w:val="0"/>
        <w:spacing w:before="200" w:line-rule="auto"/>
        <w:ind w:firstLine="540"/>
        <w:jc w:val="both"/>
      </w:pPr>
      <w:r>
        <w:rPr>
          <w:sz w:val="20"/>
        </w:rPr>
        <w:t xml:space="preserve">программы подготовки научных и научно-педагогических кадров в аспирантуре (далее - программа аспирантуры) на программу аспирантуры;</w:t>
      </w:r>
    </w:p>
    <w:p>
      <w:pPr>
        <w:pStyle w:val="0"/>
        <w:spacing w:before="200" w:line-rule="auto"/>
        <w:ind w:firstLine="540"/>
        <w:jc w:val="both"/>
      </w:pPr>
      <w:r>
        <w:rPr>
          <w:sz w:val="20"/>
        </w:rPr>
        <w:t xml:space="preserve">программы подготовки научных и научно-педагогических кадров в адъюнктуре (далее - программа адъюнктуры) на программу адъюнктуры;</w:t>
      </w:r>
    </w:p>
    <w:p>
      <w:pPr>
        <w:pStyle w:val="0"/>
        <w:spacing w:before="200" w:line-rule="auto"/>
        <w:ind w:firstLine="540"/>
        <w:jc w:val="both"/>
      </w:pPr>
      <w:r>
        <w:rPr>
          <w:sz w:val="20"/>
        </w:rPr>
        <w:t xml:space="preserve">программы подготовки научно-педагогических кадров в аспирантуре на программу подготовки научно-педагогических кадров в аспирантуре либо на программу аспирантуры;</w:t>
      </w:r>
    </w:p>
    <w:p>
      <w:pPr>
        <w:pStyle w:val="0"/>
        <w:spacing w:before="200" w:line-rule="auto"/>
        <w:ind w:firstLine="540"/>
        <w:jc w:val="both"/>
      </w:pPr>
      <w:r>
        <w:rPr>
          <w:sz w:val="20"/>
        </w:rPr>
        <w:t xml:space="preserve">программы подготовки научно-педагогических кадров в адъюнктуре на программу подготовки научно-педагогических кадров в адъюнктуре либо на программу адъюнктуры;</w:t>
      </w:r>
    </w:p>
    <w:p>
      <w:pPr>
        <w:pStyle w:val="0"/>
        <w:spacing w:before="200" w:line-rule="auto"/>
        <w:ind w:firstLine="540"/>
        <w:jc w:val="both"/>
      </w:pPr>
      <w:r>
        <w:rPr>
          <w:sz w:val="20"/>
        </w:rPr>
        <w:t xml:space="preserve">программы ординатуры на программу ординатуры;</w:t>
      </w:r>
    </w:p>
    <w:p>
      <w:pPr>
        <w:pStyle w:val="0"/>
        <w:spacing w:before="200" w:line-rule="auto"/>
        <w:ind w:firstLine="540"/>
        <w:jc w:val="both"/>
      </w:pPr>
      <w:r>
        <w:rPr>
          <w:sz w:val="20"/>
        </w:rPr>
        <w:t xml:space="preserve">программы ассистентуры-стажировки на программу ассистентуры-стажировки;</w:t>
      </w:r>
    </w:p>
    <w:p>
      <w:pPr>
        <w:pStyle w:val="0"/>
        <w:spacing w:before="200" w:line-rule="auto"/>
        <w:ind w:firstLine="540"/>
        <w:jc w:val="both"/>
      </w:pPr>
      <w:r>
        <w:rPr>
          <w:sz w:val="20"/>
        </w:rPr>
        <w:t xml:space="preserve">программы аспирантуры на программу адъюнктуры;</w:t>
      </w:r>
    </w:p>
    <w:p>
      <w:pPr>
        <w:pStyle w:val="0"/>
        <w:spacing w:before="200" w:line-rule="auto"/>
        <w:ind w:firstLine="540"/>
        <w:jc w:val="both"/>
      </w:pPr>
      <w:r>
        <w:rPr>
          <w:sz w:val="20"/>
        </w:rPr>
        <w:t xml:space="preserve">программы адъюнктуры на программу аспирантуры;</w:t>
      </w:r>
    </w:p>
    <w:p>
      <w:pPr>
        <w:pStyle w:val="0"/>
        <w:spacing w:before="200" w:line-rule="auto"/>
        <w:ind w:firstLine="540"/>
        <w:jc w:val="both"/>
      </w:pPr>
      <w:r>
        <w:rPr>
          <w:sz w:val="20"/>
        </w:rPr>
        <w:t xml:space="preserve">программы подготовки научно-педагогических кадров в аспирантуре на программу подготовки научно-педагогических кадров в адъюнктуре;</w:t>
      </w:r>
    </w:p>
    <w:p>
      <w:pPr>
        <w:pStyle w:val="0"/>
        <w:spacing w:before="200" w:line-rule="auto"/>
        <w:ind w:firstLine="540"/>
        <w:jc w:val="both"/>
      </w:pPr>
      <w:r>
        <w:rPr>
          <w:sz w:val="20"/>
        </w:rPr>
        <w:t xml:space="preserve">программы подготовки научно-педагогических кадров в адъюнктуре на программу подготовки научно-педагогических кадров в аспирантуре.</w:t>
      </w:r>
    </w:p>
    <w:p>
      <w:pPr>
        <w:pStyle w:val="0"/>
        <w:spacing w:before="200" w:line-rule="auto"/>
        <w:ind w:firstLine="540"/>
        <w:jc w:val="both"/>
      </w:pPr>
      <w:r>
        <w:rPr>
          <w:sz w:val="20"/>
        </w:rPr>
        <w:t xml:space="preserve">7. Перевод допускается с любой формы обучения на любую форму обучения.</w:t>
      </w:r>
    </w:p>
    <w:p>
      <w:pPr>
        <w:pStyle w:val="0"/>
        <w:spacing w:before="200" w:line-rule="auto"/>
        <w:ind w:firstLine="540"/>
        <w:jc w:val="both"/>
      </w:pPr>
      <w:r>
        <w:rPr>
          <w:sz w:val="20"/>
        </w:rPr>
        <w:t xml:space="preserve">8.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pPr>
        <w:pStyle w:val="0"/>
        <w:spacing w:before="200" w:line-rule="auto"/>
        <w:ind w:firstLine="540"/>
        <w:jc w:val="both"/>
      </w:pPr>
      <w:r>
        <w:rPr>
          <w:sz w:val="20"/>
        </w:rPr>
        <w:t xml:space="preserve">9. Перевод с образовательной программы, не имеющей государственной аккредитации, на образовательную программу, имеющую государственную аккредитацию, осуществляется по решению принимающей организации.</w:t>
      </w:r>
    </w:p>
    <w:p>
      <w:pPr>
        <w:pStyle w:val="0"/>
        <w:spacing w:before="200" w:line-rule="auto"/>
        <w:ind w:firstLine="540"/>
        <w:jc w:val="both"/>
      </w:pPr>
      <w:r>
        <w:rPr>
          <w:sz w:val="20"/>
        </w:rPr>
        <w:t xml:space="preserve">Обучающиеся по программам подготовки научно-педагогических кадров в аспирантуре (адъюнктуре), принятые на обучение в соответствии с федеральными государственными образовательными стандартами или образовательными стандартами, вправе перейти на обучение по программам аспирантуры или программам адъюнктуры в соответствии с федеральными государственными требованиями или самостоятельно устанавливаемыми требованиями образовательными организациями высшего образования &lt;3&gt;, в соответствии с Порядком.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8 статьи 12</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10. Перевод на обучение за счет бюджетных ассигнований осуществляется:</w:t>
      </w:r>
    </w:p>
    <w:bookmarkStart w:id="84" w:name="P84"/>
    <w:bookmarkEnd w:id="84"/>
    <w:p>
      <w:pPr>
        <w:pStyle w:val="0"/>
        <w:spacing w:before="200" w:line-rule="auto"/>
        <w:ind w:firstLine="540"/>
        <w:jc w:val="both"/>
      </w:pPr>
      <w:r>
        <w:rPr>
          <w:sz w:val="20"/>
        </w:rPr>
        <w:t xml:space="preserve">при отсутствии ограничений, предусмотренных для освоения соответствующей образовательной программы за счет бюджетных ассигнований, а также если обучение по соответствующей образовательной программе не является получением второго или последующего высшего образования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8 статьи 69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федеральными государственными требованиями, образовательным стандартом или требованиями, устанавливаемыми образовательными организациями высшего образования самостоятельно &lt;5&gt; (с учетом формы обучения и иных оснований, влияющих на срок освоения образовательной программы).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Части 10</w:t>
        </w:r>
      </w:hyperlink>
      <w:r>
        <w:rPr>
          <w:sz w:val="20"/>
        </w:rPr>
        <w:t xml:space="preserve"> и </w:t>
      </w:r>
      <w:hyperlink w:history="0" r:id="rId20"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11 статьи 11</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11. Перевод обучающихся допускается не ранее чем после прохождения первой промежуточной аттестации в исходной организации.</w:t>
      </w:r>
    </w:p>
    <w:bookmarkStart w:id="93" w:name="P93"/>
    <w:bookmarkEnd w:id="93"/>
    <w:p>
      <w:pPr>
        <w:pStyle w:val="0"/>
        <w:spacing w:before="200" w:line-rule="auto"/>
        <w:ind w:firstLine="540"/>
        <w:jc w:val="both"/>
      </w:pPr>
      <w:r>
        <w:rPr>
          <w:sz w:val="20"/>
        </w:rPr>
        <w:t xml:space="preserve">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w:t>
      </w:r>
    </w:p>
    <w:bookmarkStart w:id="94" w:name="P94"/>
    <w:bookmarkEnd w:id="94"/>
    <w:p>
      <w:pPr>
        <w:pStyle w:val="0"/>
        <w:spacing w:before="200" w:line-rule="auto"/>
        <w:ind w:firstLine="540"/>
        <w:jc w:val="both"/>
      </w:pPr>
      <w:r>
        <w:rPr>
          <w:sz w:val="20"/>
        </w:rPr>
        <w:t xml:space="preserve">13. Исходная организация в течение 5 рабочих дней со дня поступления заявления, указанного в </w:t>
      </w:r>
      <w:hyperlink w:history="0" w:anchor="P93" w:tooltip="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
        <w:r>
          <w:rPr>
            <w:sz w:val="20"/>
            <w:color w:val="0000ff"/>
          </w:rPr>
          <w:t xml:space="preserve">пункте 12</w:t>
        </w:r>
      </w:hyperlink>
      <w:r>
        <w:rPr>
          <w:sz w:val="20"/>
        </w:rPr>
        <w:t xml:space="preserve">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выставленные исходной организацией при проведении промежуточной(ых) и итоговой(ых) аттестации(й).</w:t>
      </w:r>
    </w:p>
    <w:bookmarkStart w:id="95" w:name="P95"/>
    <w:bookmarkEnd w:id="95"/>
    <w:p>
      <w:pPr>
        <w:pStyle w:val="0"/>
        <w:spacing w:before="200" w:line-rule="auto"/>
        <w:ind w:firstLine="540"/>
        <w:jc w:val="both"/>
      </w:pPr>
      <w:r>
        <w:rPr>
          <w:sz w:val="20"/>
        </w:rPr>
        <w:t xml:space="preserve">14. Для рассмотрения вопроса о переводе обучающийся подает в принимающую организацию заявление о переводе с приложением справки о периоде обучения и иных документов, подтверждающих индивидуальные достижения обучающегося (иные документы представляются по усмотрению обучающегося) (далее вместе - документы, необходимые для перевода).</w:t>
      </w:r>
    </w:p>
    <w:p>
      <w:pPr>
        <w:pStyle w:val="0"/>
        <w:spacing w:before="200" w:line-rule="auto"/>
        <w:ind w:firstLine="540"/>
        <w:jc w:val="both"/>
      </w:pPr>
      <w:r>
        <w:rPr>
          <w:sz w:val="20"/>
        </w:rPr>
        <w:t xml:space="preserve">В случае перевода на обучение за счет бюджетных ассигнований соответствие обучающегося требованиям, указанным в </w:t>
      </w:r>
      <w:hyperlink w:history="0" w:anchor="P84" w:tooltip="при отсутствии ограничений, предусмотренных для освоения соответствующей образовательной программы за счет бюджетных ассигнований, а также если обучение по соответствующей образовательной программе не является получением второго или последующего высшего образования &lt;4&gt;;">
        <w:r>
          <w:rPr>
            <w:sz w:val="20"/>
            <w:color w:val="0000ff"/>
          </w:rPr>
          <w:t xml:space="preserve">абзаце втором пункта 10</w:t>
        </w:r>
      </w:hyperlink>
      <w:r>
        <w:rPr>
          <w:sz w:val="20"/>
        </w:rPr>
        <w:t xml:space="preserve"> Порядка, заверяется его личной подписью в заявлении о переводе.</w:t>
      </w:r>
    </w:p>
    <w:p>
      <w:pPr>
        <w:pStyle w:val="0"/>
        <w:spacing w:before="200" w:line-rule="auto"/>
        <w:ind w:firstLine="540"/>
        <w:jc w:val="both"/>
      </w:pPr>
      <w:r>
        <w:rPr>
          <w:sz w:val="20"/>
        </w:rPr>
        <w:t xml:space="preserve">15. Не позднее 10 рабочих дней со дня получения документов, необходимых для перевода, принимающая организация оценивает полученные документы на предмет соответствия обучающегося требованиям, предусмотренным Порядком, и определения перечней изученных учебных дисциплин, пройденных практик, выполненных научных исследований, которые в случае перевода обучающегося будут перезачтены или переаттестованы в порядке, установленном принимающей организацией, и определяет период, с которого обучающийся в случае перевода будет допущен к обучению.</w:t>
      </w:r>
    </w:p>
    <w:p>
      <w:pPr>
        <w:pStyle w:val="0"/>
        <w:spacing w:before="200" w:line-rule="auto"/>
        <w:ind w:firstLine="540"/>
        <w:jc w:val="both"/>
      </w:pPr>
      <w:r>
        <w:rPr>
          <w:sz w:val="20"/>
        </w:rPr>
        <w:t xml:space="preserve">16. В случае если количество заявлений о переводе превышает количество вакантных мест для перевода, принимающая организация дополнительно проводит конкурсный отбор среди лиц, подавших заявление о переводе. Порядок и сроки проведения конкурсного отбора определяются принимающей организацией.</w:t>
      </w:r>
    </w:p>
    <w:p>
      <w:pPr>
        <w:pStyle w:val="0"/>
        <w:spacing w:before="200" w:line-rule="auto"/>
        <w:ind w:firstLine="540"/>
        <w:jc w:val="both"/>
      </w:pPr>
      <w:r>
        <w:rPr>
          <w:sz w:val="20"/>
        </w:rPr>
        <w:t xml:space="preserve">По результатам конкурсного отбора принимающая организация принимает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 решение о зачислении), руководствуясь при этом средним баллом успеваемости, а также совокупностью и значимостью индивидуальных достижений.</w:t>
      </w:r>
    </w:p>
    <w:p>
      <w:pPr>
        <w:pStyle w:val="0"/>
        <w:spacing w:before="200" w:line-rule="auto"/>
        <w:ind w:firstLine="540"/>
        <w:jc w:val="both"/>
      </w:pPr>
      <w:r>
        <w:rPr>
          <w:sz w:val="20"/>
        </w:rPr>
        <w:t xml:space="preserve">В отношении лиц, не прошедших конкурсный отбор, принимающая организация принимает решение об отказе в зачислении на обучение по соответствующей образовательной программе.</w:t>
      </w:r>
    </w:p>
    <w:bookmarkStart w:id="101" w:name="P101"/>
    <w:bookmarkEnd w:id="101"/>
    <w:p>
      <w:pPr>
        <w:pStyle w:val="0"/>
        <w:spacing w:before="200" w:line-rule="auto"/>
        <w:ind w:firstLine="540"/>
        <w:jc w:val="both"/>
      </w:pPr>
      <w:r>
        <w:rPr>
          <w:sz w:val="20"/>
        </w:rPr>
        <w:t xml:space="preserve">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w:t>
      </w:r>
    </w:p>
    <w:p>
      <w:pPr>
        <w:pStyle w:val="0"/>
        <w:spacing w:before="200" w:line-rule="auto"/>
        <w:ind w:firstLine="540"/>
        <w:jc w:val="both"/>
      </w:pPr>
      <w:r>
        <w:rPr>
          <w:sz w:val="20"/>
        </w:rPr>
        <w:t xml:space="preserve">Справка о переводе подписывается руководителем принимающей организации или лицом, исполняющим его обязанности, или лицом, которое на основании распорядительного акта наделено соответствующими полномочиями руководителем принимающей организации или лицом, исполняющим его обязанности, и заверяется печатью принимающей организации.</w:t>
      </w:r>
    </w:p>
    <w:p>
      <w:pPr>
        <w:pStyle w:val="0"/>
        <w:spacing w:before="200" w:line-rule="auto"/>
        <w:ind w:firstLine="540"/>
        <w:jc w:val="both"/>
      </w:pPr>
      <w:r>
        <w:rPr>
          <w:sz w:val="20"/>
        </w:rPr>
        <w:t xml:space="preserve">По заявлению обучающегося к справке о переводе может прилагаться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w:t>
      </w:r>
    </w:p>
    <w:bookmarkStart w:id="104" w:name="P104"/>
    <w:bookmarkEnd w:id="104"/>
    <w:p>
      <w:pPr>
        <w:pStyle w:val="0"/>
        <w:spacing w:before="200" w:line-rule="auto"/>
        <w:ind w:firstLine="540"/>
        <w:jc w:val="both"/>
      </w:pPr>
      <w:r>
        <w:rPr>
          <w:sz w:val="20"/>
        </w:rPr>
        <w:t xml:space="preserve">18. Обучающийся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w:t>
      </w:r>
    </w:p>
    <w:p>
      <w:pPr>
        <w:pStyle w:val="0"/>
        <w:spacing w:before="200" w:line-rule="auto"/>
        <w:ind w:firstLine="540"/>
        <w:jc w:val="both"/>
      </w:pPr>
      <w:r>
        <w:rPr>
          <w:sz w:val="20"/>
        </w:rPr>
        <w:t xml:space="preserve">19. Исходная организация в течение 5 рабочих дней со дня получения заявления об отчислении издает распорядительный акт об отчислении обучающегося в связи с переводом в принимающую организацию (далее - распорядительный акт об отчислении).</w:t>
      </w:r>
    </w:p>
    <w:bookmarkStart w:id="106" w:name="P106"/>
    <w:bookmarkEnd w:id="106"/>
    <w:p>
      <w:pPr>
        <w:pStyle w:val="0"/>
        <w:spacing w:before="200" w:line-rule="auto"/>
        <w:ind w:firstLine="540"/>
        <w:jc w:val="both"/>
      </w:pPr>
      <w:r>
        <w:rPr>
          <w:sz w:val="20"/>
        </w:rPr>
        <w:t xml:space="preserve">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(далее - документ о предшествующем образовании), а также справка об обучении по образцу, самостоятельно установленному исходной организацией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61</w:t>
        </w:r>
      </w:hyperlink>
      <w:r>
        <w:rPr>
          <w:sz w:val="20"/>
        </w:rPr>
        <w:t xml:space="preserve"> Федерального закона N 273-ФЗ.</w:t>
      </w:r>
    </w:p>
    <w:p>
      <w:pPr>
        <w:pStyle w:val="0"/>
        <w:ind w:firstLine="540"/>
        <w:jc w:val="both"/>
      </w:pPr>
      <w:r>
        <w:rPr>
          <w:sz w:val="20"/>
        </w:rPr>
      </w:r>
    </w:p>
    <w:bookmarkStart w:id="110" w:name="P110"/>
    <w:bookmarkEnd w:id="110"/>
    <w:p>
      <w:pPr>
        <w:pStyle w:val="0"/>
        <w:ind w:firstLine="540"/>
        <w:jc w:val="both"/>
      </w:pPr>
      <w:r>
        <w:rPr>
          <w:sz w:val="20"/>
        </w:rPr>
        <w:t xml:space="preserve">21. Указанные в </w:t>
      </w:r>
      <w:hyperlink w:history="0" w:anchor="P94" w:tooltip="13. Исходная организация в течение 5 рабочих дней со дня поступления заявления, указанного в пункте 12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w:r>
          <w:rPr>
            <w:sz w:val="20"/>
            <w:color w:val="0000ff"/>
          </w:rPr>
          <w:t xml:space="preserve">пунктах 13</w:t>
        </w:r>
      </w:hyperlink>
      <w:r>
        <w:rPr>
          <w:sz w:val="20"/>
        </w:rPr>
        <w:t xml:space="preserve">, </w:t>
      </w:r>
      <w:hyperlink w:history="0" w:anchor="P101" w:tooltip="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
        <w:r>
          <w:rPr>
            <w:sz w:val="20"/>
            <w:color w:val="0000ff"/>
          </w:rPr>
          <w:t xml:space="preserve">17</w:t>
        </w:r>
      </w:hyperlink>
      <w:r>
        <w:rPr>
          <w:sz w:val="20"/>
        </w:rPr>
        <w:t xml:space="preserve"> и </w:t>
      </w:r>
      <w:hyperlink w:history="0" w:anchor="P106" w:tooltip="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
        <w:r>
          <w:rPr>
            <w:sz w:val="20"/>
            <w:color w:val="0000ff"/>
          </w:rPr>
          <w:t xml:space="preserve">20</w:t>
        </w:r>
      </w:hyperlink>
      <w:r>
        <w:rPr>
          <w:sz w:val="20"/>
        </w:rPr>
        <w:t xml:space="preserve"> Порядка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pPr>
        <w:pStyle w:val="0"/>
        <w:spacing w:before="200" w:line-rule="auto"/>
        <w:ind w:firstLine="540"/>
        <w:jc w:val="both"/>
      </w:pPr>
      <w:r>
        <w:rPr>
          <w:sz w:val="20"/>
        </w:rPr>
        <w:t xml:space="preserve">Документы, указанные в </w:t>
      </w:r>
      <w:hyperlink w:history="0" w:anchor="P94" w:tooltip="13. Исходная организация в течение 5 рабочих дней со дня поступления заявления, указанного в пункте 12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w:r>
          <w:rPr>
            <w:sz w:val="20"/>
            <w:color w:val="0000ff"/>
          </w:rPr>
          <w:t xml:space="preserve">пунктах 13</w:t>
        </w:r>
      </w:hyperlink>
      <w:r>
        <w:rPr>
          <w:sz w:val="20"/>
        </w:rPr>
        <w:t xml:space="preserve">, </w:t>
      </w:r>
      <w:hyperlink w:history="0" w:anchor="P101" w:tooltip="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
        <w:r>
          <w:rPr>
            <w:sz w:val="20"/>
            <w:color w:val="0000ff"/>
          </w:rPr>
          <w:t xml:space="preserve">17</w:t>
        </w:r>
      </w:hyperlink>
      <w:r>
        <w:rPr>
          <w:sz w:val="20"/>
        </w:rPr>
        <w:t xml:space="preserve"> и </w:t>
      </w:r>
      <w:hyperlink w:history="0" w:anchor="P106" w:tooltip="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
        <w:r>
          <w:rPr>
            <w:sz w:val="20"/>
            <w:color w:val="0000ff"/>
          </w:rPr>
          <w:t xml:space="preserve">20</w:t>
        </w:r>
      </w:hyperlink>
      <w:r>
        <w:rPr>
          <w:sz w:val="20"/>
        </w:rPr>
        <w:t xml:space="preserve"> Порядка,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"Интернет" по заявлению обучающегося на указанный им адрес электронной почты и на адрес электронной почты принимающей организации.</w:t>
      </w:r>
    </w:p>
    <w:p>
      <w:pPr>
        <w:pStyle w:val="0"/>
        <w:spacing w:before="200" w:line-rule="auto"/>
        <w:ind w:firstLine="540"/>
        <w:jc w:val="both"/>
      </w:pPr>
      <w:r>
        <w:rPr>
          <w:sz w:val="20"/>
        </w:rPr>
        <w:t xml:space="preserve">22. В исходной организации в личном деле лица, отчисленного в связи с переводом, хранятся в том числе копия документа о предшествующем образовании, заверенная исходной организацией, копия распорядительного акта об отчислении либо выписка из него.</w:t>
      </w:r>
    </w:p>
    <w:bookmarkStart w:id="113" w:name="P113"/>
    <w:bookmarkEnd w:id="113"/>
    <w:p>
      <w:pPr>
        <w:pStyle w:val="0"/>
        <w:spacing w:before="200" w:line-rule="auto"/>
        <w:ind w:firstLine="540"/>
        <w:jc w:val="both"/>
      </w:pPr>
      <w:r>
        <w:rPr>
          <w:sz w:val="20"/>
        </w:rPr>
        <w:t xml:space="preserve">23.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w:t>
      </w:r>
    </w:p>
    <w:p>
      <w:pPr>
        <w:pStyle w:val="0"/>
        <w:spacing w:before="200" w:line-rule="auto"/>
        <w:ind w:firstLine="540"/>
        <w:jc w:val="both"/>
      </w:pPr>
      <w:r>
        <w:rPr>
          <w:sz w:val="20"/>
        </w:rPr>
        <w:t xml:space="preserve">24. При переводе обучающегося, получающего образование за рубежом, </w:t>
      </w:r>
      <w:hyperlink w:history="0" w:anchor="P93" w:tooltip="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
        <w:r>
          <w:rPr>
            <w:sz w:val="20"/>
            <w:color w:val="0000ff"/>
          </w:rPr>
          <w:t xml:space="preserve">пункты 12</w:t>
        </w:r>
      </w:hyperlink>
      <w:r>
        <w:rPr>
          <w:sz w:val="20"/>
        </w:rPr>
        <w:t xml:space="preserve"> - </w:t>
      </w:r>
      <w:hyperlink w:history="0" w:anchor="P95" w:tooltip="14. Для рассмотрения вопроса о переводе обучающийся подает в принимающую организацию заявление о переводе с приложением справки о периоде обучения и иных документов, подтверждающих индивидуальные достижения обучающегося (иные документы представляются по усмотрению обучающегося) (далее вместе - документы, необходимые для перевода).">
        <w:r>
          <w:rPr>
            <w:sz w:val="20"/>
            <w:color w:val="0000ff"/>
          </w:rPr>
          <w:t xml:space="preserve">14</w:t>
        </w:r>
      </w:hyperlink>
      <w:r>
        <w:rPr>
          <w:sz w:val="20"/>
        </w:rPr>
        <w:t xml:space="preserve"> и </w:t>
      </w:r>
      <w:hyperlink w:history="0" w:anchor="P104" w:tooltip="18. Обучающийся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
        <w:r>
          <w:rPr>
            <w:sz w:val="20"/>
            <w:color w:val="0000ff"/>
          </w:rPr>
          <w:t xml:space="preserve">18</w:t>
        </w:r>
      </w:hyperlink>
      <w:r>
        <w:rPr>
          <w:sz w:val="20"/>
        </w:rPr>
        <w:t xml:space="preserve"> - </w:t>
      </w:r>
      <w:hyperlink w:history="0" w:anchor="P113" w:tooltip="23.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
        <w:r>
          <w:rPr>
            <w:sz w:val="20"/>
            <w:color w:val="0000ff"/>
          </w:rPr>
          <w:t xml:space="preserve">23</w:t>
        </w:r>
      </w:hyperlink>
      <w:r>
        <w:rPr>
          <w:sz w:val="20"/>
        </w:rPr>
        <w:t xml:space="preserve"> Порядка не применяются.</w:t>
      </w:r>
    </w:p>
    <w:bookmarkStart w:id="115" w:name="P115"/>
    <w:bookmarkEnd w:id="115"/>
    <w:p>
      <w:pPr>
        <w:pStyle w:val="0"/>
        <w:spacing w:before="200" w:line-rule="auto"/>
        <w:ind w:firstLine="540"/>
        <w:jc w:val="both"/>
      </w:pPr>
      <w:r>
        <w:rPr>
          <w:sz w:val="20"/>
        </w:rPr>
        <w:t xml:space="preserve">25. 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принимающую организацию представляет в принимающую организацию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копию), если они не были направлены в принимающую организацию в соответствии с </w:t>
      </w:r>
      <w:hyperlink w:history="0" w:anchor="P110" w:tooltip="21. Указанные в пунктах 13, 17 и 20 Порядка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При представлении документа о предшествующем образовании, полученном в иностранной организации, лицо, отчисленное в связи с переводом, представляет свидетельство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pPr>
        <w:pStyle w:val="0"/>
        <w:spacing w:before="200" w:line-rule="auto"/>
        <w:ind w:firstLine="540"/>
        <w:jc w:val="both"/>
      </w:pPr>
      <w:r>
        <w:rPr>
          <w:sz w:val="20"/>
        </w:rPr>
        <w:t xml:space="preserve">26. Принимающая организация в течение 5 рабочих дней со дня поступления документов, предусмотренных </w:t>
      </w:r>
      <w:hyperlink w:history="0" w:anchor="P115" w:tooltip="25. 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принимающую организацию представляет в принимающую организацию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пию), если они не были направлены в принимающую ор...">
        <w:r>
          <w:rPr>
            <w:sz w:val="20"/>
            <w:color w:val="0000ff"/>
          </w:rPr>
          <w:t xml:space="preserve">пунктом 25</w:t>
        </w:r>
      </w:hyperlink>
      <w:r>
        <w:rPr>
          <w:sz w:val="20"/>
        </w:rPr>
        <w:t xml:space="preserve"> Порядка, издает распорядительный акт о зачислении в порядке перевода из исходной организации лица, отчисленного в связи с переводом (далее - распорядительный акт о зачислении в порядке перевода).</w:t>
      </w:r>
    </w:p>
    <w:p>
      <w:pPr>
        <w:pStyle w:val="0"/>
        <w:spacing w:before="200" w:line-rule="auto"/>
        <w:ind w:firstLine="540"/>
        <w:jc w:val="both"/>
      </w:pPr>
      <w:r>
        <w:rPr>
          <w:sz w:val="20"/>
        </w:rPr>
        <w:t xml:space="preserve">В случае зачисления на обучение по договорам об образовании за счет средств физических и (или) юридических лиц изданию распорядительного акта о зачислении в порядке перевода предшествует заключение договора об образовании.</w:t>
      </w:r>
    </w:p>
    <w:bookmarkStart w:id="119" w:name="P119"/>
    <w:bookmarkEnd w:id="119"/>
    <w:p>
      <w:pPr>
        <w:pStyle w:val="0"/>
        <w:spacing w:before="200" w:line-rule="auto"/>
        <w:ind w:firstLine="540"/>
        <w:jc w:val="both"/>
      </w:pPr>
      <w:r>
        <w:rPr>
          <w:sz w:val="20"/>
        </w:rPr>
        <w:t xml:space="preserve">27. В течение 5 рабочих дней со дня издания распорядительного акта о зачислении в порядке перевода обучающемуся выдаются студенческий билет и зачетная книжка или иной документ (документы), подтверждающий(ие) обучение в принимающей организации, выдача которого предусмотрена законодательством Российской Федерации или локальными нормативными актами принимающей организации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2"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Части 3</w:t>
        </w:r>
      </w:hyperlink>
      <w:r>
        <w:rPr>
          <w:sz w:val="20"/>
        </w:rPr>
        <w:t xml:space="preserve"> и </w:t>
      </w:r>
      <w:hyperlink w:history="0" r:id="rId2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4 статьи 33</w:t>
        </w:r>
      </w:hyperlink>
      <w:r>
        <w:rPr>
          <w:sz w:val="20"/>
        </w:rPr>
        <w:t xml:space="preserve"> Федерального закона N 273-ФЗ.</w:t>
      </w:r>
    </w:p>
    <w:p>
      <w:pPr>
        <w:pStyle w:val="0"/>
        <w:jc w:val="both"/>
      </w:pPr>
      <w:r>
        <w:rPr>
          <w:sz w:val="20"/>
        </w:rPr>
        <w:t xml:space="preserve">(в ред. </w:t>
      </w:r>
      <w:hyperlink w:history="0" r:id="rId24"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Приказа</w:t>
        </w:r>
      </w:hyperlink>
      <w:r>
        <w:rPr>
          <w:sz w:val="20"/>
        </w:rPr>
        <w:t xml:space="preserve"> Минобрнауки России от 05.10.2022 N 956)</w:t>
      </w:r>
    </w:p>
    <w:p>
      <w:pPr>
        <w:pStyle w:val="0"/>
        <w:ind w:firstLine="540"/>
        <w:jc w:val="both"/>
      </w:pPr>
      <w:r>
        <w:rPr>
          <w:sz w:val="20"/>
        </w:rPr>
      </w:r>
    </w:p>
    <w:p>
      <w:pPr>
        <w:pStyle w:val="0"/>
        <w:ind w:firstLine="540"/>
        <w:jc w:val="both"/>
      </w:pPr>
      <w:r>
        <w:rPr>
          <w:sz w:val="20"/>
        </w:rPr>
        <w:t xml:space="preserve">28. Обучающийся, являющийся иностранным гражданином или лицом без гражданства, обязан не позднее тридцати дней со дня издания распорядительного акта об отчислении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выписку из распорядительного акта о зачислении в порядке перевода в принимающую организацию на обучение по очной форме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Федеральный закон от 25.07.2002 N 115-ФЗ (ред. от 09.11.2024) &quot;О правовом положении иностранных граждан в Российской Федерации&quot; ------------ Недействующая редакция {КонсультантПлюс}">
        <w:r>
          <w:rPr>
            <w:sz w:val="20"/>
            <w:color w:val="0000ff"/>
          </w:rPr>
          <w:t xml:space="preserve">Пункт 9 статьи 6.2</w:t>
        </w:r>
      </w:hyperlink>
      <w:r>
        <w:rPr>
          <w:sz w:val="20"/>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2022, N 29, ст. 5324).</w:t>
      </w:r>
    </w:p>
    <w:p>
      <w:pPr>
        <w:pStyle w:val="0"/>
        <w:ind w:firstLine="540"/>
        <w:jc w:val="both"/>
      </w:pPr>
      <w:r>
        <w:rPr>
          <w:sz w:val="20"/>
        </w:rPr>
      </w:r>
    </w:p>
    <w:p>
      <w:pPr>
        <w:pStyle w:val="0"/>
        <w:ind w:firstLine="540"/>
        <w:jc w:val="both"/>
      </w:pPr>
      <w:r>
        <w:rPr>
          <w:sz w:val="20"/>
        </w:rPr>
        <w:t xml:space="preserve">Выписка из распорядительного акта о зачислении в порядке перевода в принимающую организацию на обучение по очной форме выдается указанному обучающемуся принимающей организацией в сроки, установленные </w:t>
      </w:r>
      <w:hyperlink w:history="0" w:anchor="P119" w:tooltip="27. В течение 5 рабочих дней со дня издания распорядительного акта о зачислении в порядке перевода обучающемуся выдаются студенческий билет и зачетная книжка или иной документ (документы), подтверждающий(ие) обучение в принимающей организации, выдача которого предусмотрена законодательством Российской Федерации или локальными нормативными актами принимающей организации &lt;7&gt;.">
        <w:r>
          <w:rPr>
            <w:sz w:val="20"/>
            <w:color w:val="0000ff"/>
          </w:rPr>
          <w:t xml:space="preserve">пунктом 27</w:t>
        </w:r>
      </w:hyperlink>
      <w:r>
        <w:rPr>
          <w:sz w:val="20"/>
        </w:rPr>
        <w:t xml:space="preserve"> Порядка.</w:t>
      </w:r>
    </w:p>
    <w:p>
      <w:pPr>
        <w:pStyle w:val="0"/>
        <w:jc w:val="both"/>
      </w:pPr>
      <w:r>
        <w:rPr>
          <w:sz w:val="20"/>
        </w:rPr>
        <w:t xml:space="preserve">(п. 28 введен </w:t>
      </w:r>
      <w:hyperlink w:history="0" r:id="rId26"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Приказом</w:t>
        </w:r>
      </w:hyperlink>
      <w:r>
        <w:rPr>
          <w:sz w:val="20"/>
        </w:rPr>
        <w:t xml:space="preserve"> Минобрнауки России от 05.10.2022 N 956)</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12.07.2021 N 607</w:t>
            <w:br/>
            <w:t>(ред. от 07.03.2023)</w:t>
            <w:br/>
            <w:t>"Об утверждении Порядка перевода обучающегося в другу...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0823&amp;dst=100006" TargetMode = "External"/>
	<Relationship Id="rId8" Type="http://schemas.openxmlformats.org/officeDocument/2006/relationships/hyperlink" Target="https://login.consultant.ru/link/?req=doc&amp;base=LAW&amp;n=444877&amp;dst=100006" TargetMode = "External"/>
	<Relationship Id="rId9" Type="http://schemas.openxmlformats.org/officeDocument/2006/relationships/hyperlink" Target="https://login.consultant.ru/link/?req=doc&amp;base=LAW&amp;n=491408&amp;dst=230" TargetMode = "External"/>
	<Relationship Id="rId10" Type="http://schemas.openxmlformats.org/officeDocument/2006/relationships/hyperlink" Target="https://login.consultant.ru/link/?req=doc&amp;base=LAW&amp;n=491913&amp;dst=100041" TargetMode = "External"/>
	<Relationship Id="rId11" Type="http://schemas.openxmlformats.org/officeDocument/2006/relationships/hyperlink" Target="https://login.consultant.ru/link/?req=doc&amp;base=LAW&amp;n=430823&amp;dst=100006" TargetMode = "External"/>
	<Relationship Id="rId12" Type="http://schemas.openxmlformats.org/officeDocument/2006/relationships/hyperlink" Target="https://login.consultant.ru/link/?req=doc&amp;base=LAW&amp;n=444877&amp;dst=100006" TargetMode = "External"/>
	<Relationship Id="rId13" Type="http://schemas.openxmlformats.org/officeDocument/2006/relationships/hyperlink" Target="https://login.consultant.ru/link/?req=doc&amp;base=LAW&amp;n=446158&amp;dst=100177" TargetMode = "External"/>
	<Relationship Id="rId14" Type="http://schemas.openxmlformats.org/officeDocument/2006/relationships/hyperlink" Target="https://login.consultant.ru/link/?req=doc&amp;base=LAW&amp;n=444877&amp;dst=100006" TargetMode = "External"/>
	<Relationship Id="rId15" Type="http://schemas.openxmlformats.org/officeDocument/2006/relationships/hyperlink" Target="https://login.consultant.ru/link/?req=doc&amp;base=LAW&amp;n=491408&amp;dst=39" TargetMode = "External"/>
	<Relationship Id="rId16" Type="http://schemas.openxmlformats.org/officeDocument/2006/relationships/hyperlink" Target="https://login.consultant.ru/link/?req=doc&amp;base=LAW&amp;n=491408&amp;dst=101077" TargetMode = "External"/>
	<Relationship Id="rId17" Type="http://schemas.openxmlformats.org/officeDocument/2006/relationships/hyperlink" Target="https://login.consultant.ru/link/?req=doc&amp;base=LAW&amp;n=491408&amp;dst=469" TargetMode = "External"/>
	<Relationship Id="rId18" Type="http://schemas.openxmlformats.org/officeDocument/2006/relationships/hyperlink" Target="https://login.consultant.ru/link/?req=doc&amp;base=LAW&amp;n=491408&amp;dst=101600" TargetMode = "External"/>
	<Relationship Id="rId19" Type="http://schemas.openxmlformats.org/officeDocument/2006/relationships/hyperlink" Target="https://login.consultant.ru/link/?req=doc&amp;base=LAW&amp;n=491408&amp;dst=465" TargetMode = "External"/>
	<Relationship Id="rId20" Type="http://schemas.openxmlformats.org/officeDocument/2006/relationships/hyperlink" Target="https://login.consultant.ru/link/?req=doc&amp;base=LAW&amp;n=491408&amp;dst=466" TargetMode = "External"/>
	<Relationship Id="rId21" Type="http://schemas.openxmlformats.org/officeDocument/2006/relationships/hyperlink" Target="https://login.consultant.ru/link/?req=doc&amp;base=LAW&amp;n=491408&amp;dst=100862" TargetMode = "External"/>
	<Relationship Id="rId22" Type="http://schemas.openxmlformats.org/officeDocument/2006/relationships/hyperlink" Target="https://login.consultant.ru/link/?req=doc&amp;base=LAW&amp;n=491408&amp;dst=227" TargetMode = "External"/>
	<Relationship Id="rId23" Type="http://schemas.openxmlformats.org/officeDocument/2006/relationships/hyperlink" Target="https://login.consultant.ru/link/?req=doc&amp;base=LAW&amp;n=491408&amp;dst=100475" TargetMode = "External"/>
	<Relationship Id="rId24" Type="http://schemas.openxmlformats.org/officeDocument/2006/relationships/hyperlink" Target="https://login.consultant.ru/link/?req=doc&amp;base=LAW&amp;n=430823&amp;dst=100007" TargetMode = "External"/>
	<Relationship Id="rId25" Type="http://schemas.openxmlformats.org/officeDocument/2006/relationships/hyperlink" Target="https://login.consultant.ru/link/?req=doc&amp;base=LAW&amp;n=490118&amp;dst=1476" TargetMode = "External"/>
	<Relationship Id="rId26" Type="http://schemas.openxmlformats.org/officeDocument/2006/relationships/hyperlink" Target="https://login.consultant.ru/link/?req=doc&amp;base=LAW&amp;n=430823&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12.07.2021 N 607
(ред. от 07.03.2023)
"Об утверждении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
(Зарегистрировано в Минюсте России 03.09.2021 N 64876)</dc:title>
  <dcterms:created xsi:type="dcterms:W3CDTF">2025-01-10T06:58:34Z</dcterms:created>
</cp:coreProperties>
</file>